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E8DA" w14:textId="4286340E" w:rsidR="0040477B" w:rsidRPr="008D69ED" w:rsidRDefault="0040477B" w:rsidP="00AA4678">
      <w:pPr>
        <w:pStyle w:val="BodyText"/>
        <w:spacing w:before="5"/>
        <w:ind w:left="0" w:firstLine="0"/>
        <w:jc w:val="center"/>
        <w:rPr>
          <w:b/>
          <w:bCs/>
          <w:sz w:val="21"/>
          <w:szCs w:val="21"/>
        </w:rPr>
      </w:pPr>
      <w:r w:rsidRPr="008D69ED">
        <w:rPr>
          <w:b/>
          <w:bCs/>
          <w:sz w:val="21"/>
          <w:szCs w:val="21"/>
        </w:rPr>
        <w:t xml:space="preserve">Documents Required </w:t>
      </w:r>
      <w:r w:rsidR="007F7674">
        <w:rPr>
          <w:b/>
          <w:bCs/>
          <w:sz w:val="21"/>
          <w:szCs w:val="21"/>
        </w:rPr>
        <w:t>for</w:t>
      </w:r>
      <w:r w:rsidR="008A0E91" w:rsidRPr="008D69ED">
        <w:rPr>
          <w:b/>
          <w:bCs/>
          <w:sz w:val="21"/>
          <w:szCs w:val="21"/>
        </w:rPr>
        <w:t xml:space="preserve"> Time of Hire</w:t>
      </w:r>
      <w:r w:rsidRPr="008D69ED">
        <w:rPr>
          <w:b/>
          <w:bCs/>
          <w:sz w:val="21"/>
          <w:szCs w:val="21"/>
        </w:rPr>
        <w:t xml:space="preserve"> in California</w:t>
      </w:r>
      <w:r w:rsidR="00577C91" w:rsidRPr="008D69ED">
        <w:rPr>
          <w:b/>
          <w:bCs/>
          <w:sz w:val="21"/>
          <w:szCs w:val="21"/>
        </w:rPr>
        <w:t xml:space="preserve"> </w:t>
      </w:r>
    </w:p>
    <w:p w14:paraId="2C7BC780" w14:textId="0B0278FD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Offer Letter or Employment Agreement</w:t>
      </w:r>
    </w:p>
    <w:p w14:paraId="23A1317A" w14:textId="5E2E84CD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Outline the terms of employment, including job title, start date, compensation, and any conditions of employment.</w:t>
      </w:r>
      <w:r w:rsidR="003B63A8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3B63A8" w:rsidRPr="00FA211F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>*Branded offer letter template available upon request through consultation meeting</w:t>
      </w:r>
      <w:r w:rsidR="00FA211F" w:rsidRPr="00FA211F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>*</w:t>
      </w:r>
    </w:p>
    <w:p w14:paraId="79F3D3BB" w14:textId="6599270E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Form I-9 (Employment Eligibility Verification)</w:t>
      </w:r>
    </w:p>
    <w:p w14:paraId="1A0EB8E7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Required by the federal government to verify the employee’s identity and authorization to work in the United States.</w:t>
      </w:r>
    </w:p>
    <w:p w14:paraId="41D83515" w14:textId="6A2DC70E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7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USCIS Form I-9</w:t>
        </w:r>
      </w:hyperlink>
    </w:p>
    <w:p w14:paraId="1E794531" w14:textId="60F84442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W-4 Form (Employee’s Withholding Certificate)</w:t>
      </w:r>
    </w:p>
    <w:p w14:paraId="2D60251F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Used to determine the amount of federal income tax to withhold from the employee's paycheck.</w:t>
      </w:r>
    </w:p>
    <w:p w14:paraId="5C7CD234" w14:textId="37B5642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8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IRS Form W-4</w:t>
        </w:r>
      </w:hyperlink>
    </w:p>
    <w:p w14:paraId="3B98FAB8" w14:textId="4F5567D7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DE 4 Form (California Employee’s Withholding Allowance Certificate)</w:t>
      </w:r>
    </w:p>
    <w:p w14:paraId="76D738E9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Used to determine the amount of state income tax to withhold.</w:t>
      </w:r>
    </w:p>
    <w:p w14:paraId="39AF3B34" w14:textId="5C1CC0BC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9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California EDD Form DE 4</w:t>
        </w:r>
      </w:hyperlink>
    </w:p>
    <w:p w14:paraId="127F1DC6" w14:textId="02BB4B83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California Wage Theft Prevention Act Notice</w:t>
      </w:r>
    </w:p>
    <w:p w14:paraId="31A5ED47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Provides information on the employee’s pay rate, payday, and other employment terms.</w:t>
      </w:r>
    </w:p>
    <w:p w14:paraId="458C870C" w14:textId="585AE625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10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DIR Wage Theft Prevention Act Notice</w:t>
        </w:r>
      </w:hyperlink>
    </w:p>
    <w:p w14:paraId="3B25B16C" w14:textId="11386DE3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Notice Regarding Workers’ Compensation</w:t>
      </w:r>
    </w:p>
    <w:p w14:paraId="301462D0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Provides information about workers’ compensation benefits and the process for reporting workplace injuries.</w:t>
      </w:r>
    </w:p>
    <w:p w14:paraId="191F9297" w14:textId="1B3ABE80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11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California DIR Workers’ Compensation</w:t>
        </w:r>
      </w:hyperlink>
    </w:p>
    <w:p w14:paraId="6B477A34" w14:textId="37E1AFDE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Notice of Sexual Harassment Prevention</w:t>
      </w:r>
    </w:p>
    <w:p w14:paraId="30280471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Acknowledgment that the employee has received and understands the company’s sexual harassment prevention policy.</w:t>
      </w:r>
    </w:p>
    <w:p w14:paraId="0A3F3E18" w14:textId="7255DAD9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12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DFEH Sexual Harassment Prevention</w:t>
        </w:r>
      </w:hyperlink>
    </w:p>
    <w:p w14:paraId="373DC66E" w14:textId="644DA281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Paid Sick Leave Notice (Healthy Workplace Healthy Family Act)</w:t>
      </w:r>
    </w:p>
    <w:p w14:paraId="57F24E24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Inform employees of their rights to paid sick leave under California law.</w:t>
      </w:r>
    </w:p>
    <w:p w14:paraId="05AC8F4D" w14:textId="18A0814B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13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California DIR Paid Sick Leave</w:t>
        </w:r>
      </w:hyperlink>
    </w:p>
    <w:p w14:paraId="480236BE" w14:textId="396E8B11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Employee Handbook Acknowledgment</w:t>
      </w:r>
    </w:p>
    <w:p w14:paraId="17FAF297" w14:textId="10F581D6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Acknowledgment that the employee has received, read, and understood the company’s employee handbook.</w:t>
      </w:r>
      <w:r w:rsidR="00FA211F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FA211F" w:rsidRPr="006E45E9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>*Employee handbook</w:t>
      </w:r>
      <w:r w:rsidR="006E45E9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 xml:space="preserve"> and/or policy</w:t>
      </w:r>
      <w:r w:rsidR="00FA211F" w:rsidRPr="006E45E9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 xml:space="preserve"> creation available upon request through consultation meeting (additional fees may </w:t>
      </w:r>
      <w:r w:rsidR="00972E56" w:rsidRPr="006E45E9">
        <w:rPr>
          <w:rFonts w:asciiTheme="minorHAnsi" w:eastAsia="Times New Roman" w:hAnsiTheme="minorHAnsi" w:cstheme="minorHAnsi"/>
          <w:color w:val="4F81BD" w:themeColor="accent1"/>
          <w:sz w:val="21"/>
          <w:szCs w:val="21"/>
        </w:rPr>
        <w:t>apply) *</w:t>
      </w:r>
    </w:p>
    <w:p w14:paraId="11393CFC" w14:textId="19B96F45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Direct Deposit Authorization Form (Optional)</w:t>
      </w:r>
    </w:p>
    <w:p w14:paraId="5BE556E1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Allows the employee to authorize direct deposit of their paycheck.</w:t>
      </w:r>
    </w:p>
    <w:p w14:paraId="0842CC95" w14:textId="7889D3B4" w:rsidR="008D69ED" w:rsidRPr="008D69ED" w:rsidRDefault="008D69ED" w:rsidP="008D69ED">
      <w:pPr>
        <w:pStyle w:val="ListParagraph"/>
        <w:widowControl/>
        <w:numPr>
          <w:ilvl w:val="0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Health Insurance Exchange Notice (ACA Requirement)</w:t>
      </w:r>
    </w:p>
    <w:p w14:paraId="05AF379D" w14:textId="77777777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sz w:val="21"/>
          <w:szCs w:val="21"/>
        </w:rPr>
        <w:t>Inform new hires about the health insurance marketplace and the company's health insurance offerings.</w:t>
      </w:r>
    </w:p>
    <w:p w14:paraId="2DF54074" w14:textId="0CE05E29" w:rsidR="008D69ED" w:rsidRPr="008D69ED" w:rsidRDefault="008D69ED" w:rsidP="008D69ED">
      <w:pPr>
        <w:widowControl/>
        <w:numPr>
          <w:ilvl w:val="1"/>
          <w:numId w:val="41"/>
        </w:numPr>
        <w:autoSpaceDE/>
        <w:autoSpaceDN/>
        <w:rPr>
          <w:rFonts w:asciiTheme="minorHAnsi" w:eastAsia="Times New Roman" w:hAnsiTheme="minorHAnsi" w:cstheme="minorHAnsi"/>
          <w:sz w:val="21"/>
          <w:szCs w:val="21"/>
        </w:rPr>
      </w:pPr>
      <w:r w:rsidRPr="008D69ED">
        <w:rPr>
          <w:rFonts w:asciiTheme="minorHAnsi" w:eastAsia="Times New Roman" w:hAnsiTheme="minorHAnsi" w:cstheme="minorHAnsi"/>
          <w:b/>
          <w:bCs/>
          <w:sz w:val="21"/>
          <w:szCs w:val="21"/>
        </w:rPr>
        <w:t>Resource:</w:t>
      </w:r>
      <w:r w:rsidRPr="008D69ED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hyperlink r:id="rId14" w:history="1">
        <w:r w:rsidRPr="008D69ED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DOL Health Insurance Exchange Notice</w:t>
        </w:r>
      </w:hyperlink>
    </w:p>
    <w:p w14:paraId="7A7E13AE" w14:textId="77777777" w:rsidR="00B41CAD" w:rsidRPr="008D69ED" w:rsidRDefault="00B41CAD" w:rsidP="00093588">
      <w:pPr>
        <w:pStyle w:val="BodyText"/>
        <w:spacing w:before="5"/>
        <w:ind w:left="0" w:firstLine="0"/>
        <w:rPr>
          <w:sz w:val="21"/>
          <w:szCs w:val="21"/>
        </w:rPr>
      </w:pPr>
    </w:p>
    <w:p w14:paraId="75B557B7" w14:textId="148E8B8F" w:rsidR="00637438" w:rsidRPr="008D69ED" w:rsidRDefault="00B41CAD" w:rsidP="00C8761D">
      <w:pPr>
        <w:pStyle w:val="BodyText"/>
        <w:spacing w:before="5"/>
        <w:ind w:left="0" w:firstLine="0"/>
        <w:jc w:val="center"/>
        <w:rPr>
          <w:sz w:val="21"/>
          <w:szCs w:val="21"/>
        </w:rPr>
      </w:pPr>
      <w:r w:rsidRPr="008D69ED">
        <w:rPr>
          <w:sz w:val="21"/>
          <w:szCs w:val="21"/>
          <w:highlight w:val="yellow"/>
        </w:rPr>
        <w:t xml:space="preserve">These documents are essential for ensuring compliance with California and federal laws during the </w:t>
      </w:r>
      <w:r w:rsidR="00577C91" w:rsidRPr="008D69ED">
        <w:rPr>
          <w:sz w:val="21"/>
          <w:szCs w:val="21"/>
          <w:highlight w:val="yellow"/>
        </w:rPr>
        <w:t xml:space="preserve">separation </w:t>
      </w:r>
      <w:r w:rsidRPr="008D69ED">
        <w:rPr>
          <w:sz w:val="21"/>
          <w:szCs w:val="21"/>
          <w:highlight w:val="yellow"/>
        </w:rPr>
        <w:t>processes. It's important to review and update these documents regularly to reflect any changes in the law.</w:t>
      </w:r>
    </w:p>
    <w:p w14:paraId="24508240" w14:textId="52AF7AAB" w:rsidR="00B41CAD" w:rsidRPr="00B41CAD" w:rsidRDefault="00B41CAD" w:rsidP="00B41CAD">
      <w:r>
        <w:t>Last Updated: 01.01.24</w:t>
      </w:r>
    </w:p>
    <w:sectPr w:rsidR="00B41CAD" w:rsidRPr="00B41CAD">
      <w:headerReference w:type="default" r:id="rId15"/>
      <w:pgSz w:w="12240" w:h="15840"/>
      <w:pgMar w:top="1880" w:right="1360" w:bottom="280" w:left="1340" w:header="10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1F5D" w14:textId="77777777" w:rsidR="00446A4C" w:rsidRDefault="00446A4C">
      <w:r>
        <w:separator/>
      </w:r>
    </w:p>
  </w:endnote>
  <w:endnote w:type="continuationSeparator" w:id="0">
    <w:p w14:paraId="2CC8AA71" w14:textId="77777777" w:rsidR="00446A4C" w:rsidRDefault="004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65E0" w14:textId="77777777" w:rsidR="00446A4C" w:rsidRDefault="00446A4C">
      <w:r>
        <w:separator/>
      </w:r>
    </w:p>
  </w:footnote>
  <w:footnote w:type="continuationSeparator" w:id="0">
    <w:p w14:paraId="637D8F83" w14:textId="77777777" w:rsidR="00446A4C" w:rsidRDefault="0044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B511" w14:textId="77777777" w:rsidR="001B7A3E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noProof/>
        <w:sz w:val="18"/>
        <w:szCs w:val="18"/>
      </w:rPr>
      <w:drawing>
        <wp:anchor distT="0" distB="0" distL="0" distR="0" simplePos="0" relativeHeight="251659776" behindDoc="1" locked="0" layoutInCell="1" allowOverlap="1" wp14:anchorId="75B557E2" wp14:editId="7996B7C5">
          <wp:simplePos x="0" y="0"/>
          <wp:positionH relativeFrom="page">
            <wp:posOffset>2880995</wp:posOffset>
          </wp:positionH>
          <wp:positionV relativeFrom="page">
            <wp:posOffset>206159</wp:posOffset>
          </wp:positionV>
          <wp:extent cx="2009144" cy="305127"/>
          <wp:effectExtent l="0" t="0" r="0" b="0"/>
          <wp:wrapNone/>
          <wp:docPr id="141074817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144" cy="305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7A3E">
      <w:rPr>
        <w:b/>
        <w:bCs/>
        <w:sz w:val="18"/>
        <w:szCs w:val="18"/>
      </w:rPr>
      <w:t>Disclaimer: SIMPLIFYhr has taken care to ensure the information provided is accurate. However, SIMPLIFYhr does</w:t>
    </w:r>
  </w:p>
  <w:p w14:paraId="4FFC2DAC" w14:textId="77777777" w:rsidR="001E7957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not guarantee its completeness or accuracy and is not responsible for any errors or omissions. This</w:t>
    </w:r>
  </w:p>
  <w:p w14:paraId="495D0238" w14:textId="77777777" w:rsidR="001E7957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resource is not a substitute for legal advice. For legal advice or assistance, please consult an employment</w:t>
    </w:r>
  </w:p>
  <w:p w14:paraId="761819D8" w14:textId="42EE41BF" w:rsidR="001B7A3E" w:rsidRPr="001B7A3E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attorney.</w:t>
    </w:r>
  </w:p>
  <w:p w14:paraId="75B557E1" w14:textId="54AFBDA3" w:rsidR="00637438" w:rsidRDefault="00637438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CAC"/>
    <w:multiLevelType w:val="multilevel"/>
    <w:tmpl w:val="471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6331"/>
    <w:multiLevelType w:val="multilevel"/>
    <w:tmpl w:val="21DC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15E4"/>
    <w:multiLevelType w:val="multilevel"/>
    <w:tmpl w:val="EE2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131A3"/>
    <w:multiLevelType w:val="multilevel"/>
    <w:tmpl w:val="E91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8422A"/>
    <w:multiLevelType w:val="multilevel"/>
    <w:tmpl w:val="0F4A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E16EC"/>
    <w:multiLevelType w:val="multilevel"/>
    <w:tmpl w:val="2D7A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F77F7"/>
    <w:multiLevelType w:val="multilevel"/>
    <w:tmpl w:val="1F4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D0A74"/>
    <w:multiLevelType w:val="multilevel"/>
    <w:tmpl w:val="7D9A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85E77"/>
    <w:multiLevelType w:val="multilevel"/>
    <w:tmpl w:val="955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F1BD3"/>
    <w:multiLevelType w:val="multilevel"/>
    <w:tmpl w:val="3F0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E329F"/>
    <w:multiLevelType w:val="multilevel"/>
    <w:tmpl w:val="625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F4095"/>
    <w:multiLevelType w:val="multilevel"/>
    <w:tmpl w:val="94F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95D6F"/>
    <w:multiLevelType w:val="multilevel"/>
    <w:tmpl w:val="827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41F89"/>
    <w:multiLevelType w:val="multilevel"/>
    <w:tmpl w:val="F9D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70FC4"/>
    <w:multiLevelType w:val="multilevel"/>
    <w:tmpl w:val="23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E110D"/>
    <w:multiLevelType w:val="multilevel"/>
    <w:tmpl w:val="9C2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549E9"/>
    <w:multiLevelType w:val="multilevel"/>
    <w:tmpl w:val="632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A0F42"/>
    <w:multiLevelType w:val="multilevel"/>
    <w:tmpl w:val="062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92095"/>
    <w:multiLevelType w:val="multilevel"/>
    <w:tmpl w:val="628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7179A"/>
    <w:multiLevelType w:val="multilevel"/>
    <w:tmpl w:val="26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B092A"/>
    <w:multiLevelType w:val="multilevel"/>
    <w:tmpl w:val="8A8C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E243B"/>
    <w:multiLevelType w:val="hybridMultilevel"/>
    <w:tmpl w:val="4AE0F47C"/>
    <w:lvl w:ilvl="0" w:tplc="D01430D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4869D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2F05B1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EFBCB91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242055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4D54005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D14B23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C332020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A8AB23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B6B19FD"/>
    <w:multiLevelType w:val="hybridMultilevel"/>
    <w:tmpl w:val="550E576E"/>
    <w:lvl w:ilvl="0" w:tplc="11E02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00549"/>
    <w:multiLevelType w:val="multilevel"/>
    <w:tmpl w:val="EE1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25CDD"/>
    <w:multiLevelType w:val="multilevel"/>
    <w:tmpl w:val="A61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E2C06"/>
    <w:multiLevelType w:val="multilevel"/>
    <w:tmpl w:val="4D8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B2CF1"/>
    <w:multiLevelType w:val="multilevel"/>
    <w:tmpl w:val="CA8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40EF8"/>
    <w:multiLevelType w:val="hybridMultilevel"/>
    <w:tmpl w:val="C214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E6C1C"/>
    <w:multiLevelType w:val="hybridMultilevel"/>
    <w:tmpl w:val="7F70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B47A6"/>
    <w:multiLevelType w:val="multilevel"/>
    <w:tmpl w:val="E7EE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2AD4"/>
    <w:multiLevelType w:val="multilevel"/>
    <w:tmpl w:val="79A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32E81"/>
    <w:multiLevelType w:val="multilevel"/>
    <w:tmpl w:val="768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8D25B8"/>
    <w:multiLevelType w:val="multilevel"/>
    <w:tmpl w:val="8CC6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24CC6"/>
    <w:multiLevelType w:val="multilevel"/>
    <w:tmpl w:val="2AE0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30762"/>
    <w:multiLevelType w:val="multilevel"/>
    <w:tmpl w:val="E46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B50A5"/>
    <w:multiLevelType w:val="multilevel"/>
    <w:tmpl w:val="318E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87F38"/>
    <w:multiLevelType w:val="multilevel"/>
    <w:tmpl w:val="DA9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0771DC"/>
    <w:multiLevelType w:val="hybridMultilevel"/>
    <w:tmpl w:val="6102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A6478"/>
    <w:multiLevelType w:val="multilevel"/>
    <w:tmpl w:val="11B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8D103A"/>
    <w:multiLevelType w:val="multilevel"/>
    <w:tmpl w:val="67C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C045A1"/>
    <w:multiLevelType w:val="multilevel"/>
    <w:tmpl w:val="E48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91617">
    <w:abstractNumId w:val="21"/>
  </w:num>
  <w:num w:numId="2" w16cid:durableId="453524499">
    <w:abstractNumId w:val="38"/>
  </w:num>
  <w:num w:numId="3" w16cid:durableId="532426379">
    <w:abstractNumId w:val="34"/>
  </w:num>
  <w:num w:numId="4" w16cid:durableId="912274680">
    <w:abstractNumId w:val="24"/>
  </w:num>
  <w:num w:numId="5" w16cid:durableId="1252273358">
    <w:abstractNumId w:val="30"/>
  </w:num>
  <w:num w:numId="6" w16cid:durableId="145320212">
    <w:abstractNumId w:val="13"/>
  </w:num>
  <w:num w:numId="7" w16cid:durableId="1966038513">
    <w:abstractNumId w:val="40"/>
  </w:num>
  <w:num w:numId="8" w16cid:durableId="7101978">
    <w:abstractNumId w:val="12"/>
  </w:num>
  <w:num w:numId="9" w16cid:durableId="1907958810">
    <w:abstractNumId w:val="32"/>
  </w:num>
  <w:num w:numId="10" w16cid:durableId="382750242">
    <w:abstractNumId w:val="16"/>
  </w:num>
  <w:num w:numId="11" w16cid:durableId="475029793">
    <w:abstractNumId w:val="18"/>
  </w:num>
  <w:num w:numId="12" w16cid:durableId="895553371">
    <w:abstractNumId w:val="22"/>
  </w:num>
  <w:num w:numId="13" w16cid:durableId="375400040">
    <w:abstractNumId w:val="37"/>
  </w:num>
  <w:num w:numId="14" w16cid:durableId="2141609298">
    <w:abstractNumId w:val="4"/>
  </w:num>
  <w:num w:numId="15" w16cid:durableId="787742966">
    <w:abstractNumId w:val="36"/>
  </w:num>
  <w:num w:numId="16" w16cid:durableId="1528445535">
    <w:abstractNumId w:val="0"/>
  </w:num>
  <w:num w:numId="17" w16cid:durableId="1403873829">
    <w:abstractNumId w:val="3"/>
  </w:num>
  <w:num w:numId="18" w16cid:durableId="539250651">
    <w:abstractNumId w:val="33"/>
  </w:num>
  <w:num w:numId="19" w16cid:durableId="1144156571">
    <w:abstractNumId w:val="20"/>
  </w:num>
  <w:num w:numId="20" w16cid:durableId="14229951">
    <w:abstractNumId w:val="1"/>
  </w:num>
  <w:num w:numId="21" w16cid:durableId="460150878">
    <w:abstractNumId w:val="26"/>
  </w:num>
  <w:num w:numId="22" w16cid:durableId="234435130">
    <w:abstractNumId w:val="29"/>
  </w:num>
  <w:num w:numId="23" w16cid:durableId="1329551505">
    <w:abstractNumId w:val="8"/>
  </w:num>
  <w:num w:numId="24" w16cid:durableId="596526982">
    <w:abstractNumId w:val="39"/>
  </w:num>
  <w:num w:numId="25" w16cid:durableId="28846412">
    <w:abstractNumId w:val="11"/>
  </w:num>
  <w:num w:numId="26" w16cid:durableId="1692143117">
    <w:abstractNumId w:val="2"/>
  </w:num>
  <w:num w:numId="27" w16cid:durableId="7097492">
    <w:abstractNumId w:val="25"/>
  </w:num>
  <w:num w:numId="28" w16cid:durableId="1552376089">
    <w:abstractNumId w:val="7"/>
  </w:num>
  <w:num w:numId="29" w16cid:durableId="2137599057">
    <w:abstractNumId w:val="27"/>
  </w:num>
  <w:num w:numId="30" w16cid:durableId="943726042">
    <w:abstractNumId w:val="9"/>
  </w:num>
  <w:num w:numId="31" w16cid:durableId="100882955">
    <w:abstractNumId w:val="31"/>
  </w:num>
  <w:num w:numId="32" w16cid:durableId="498232891">
    <w:abstractNumId w:val="14"/>
  </w:num>
  <w:num w:numId="33" w16cid:durableId="393434000">
    <w:abstractNumId w:val="10"/>
  </w:num>
  <w:num w:numId="34" w16cid:durableId="1622109494">
    <w:abstractNumId w:val="35"/>
  </w:num>
  <w:num w:numId="35" w16cid:durableId="2108884401">
    <w:abstractNumId w:val="5"/>
  </w:num>
  <w:num w:numId="36" w16cid:durableId="1407144433">
    <w:abstractNumId w:val="6"/>
  </w:num>
  <w:num w:numId="37" w16cid:durableId="142239218">
    <w:abstractNumId w:val="23"/>
  </w:num>
  <w:num w:numId="38" w16cid:durableId="1770660152">
    <w:abstractNumId w:val="17"/>
  </w:num>
  <w:num w:numId="39" w16cid:durableId="1919822628">
    <w:abstractNumId w:val="15"/>
  </w:num>
  <w:num w:numId="40" w16cid:durableId="1535846288">
    <w:abstractNumId w:val="19"/>
  </w:num>
  <w:num w:numId="41" w16cid:durableId="2759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8"/>
    <w:rsid w:val="00093588"/>
    <w:rsid w:val="00117D09"/>
    <w:rsid w:val="00160D91"/>
    <w:rsid w:val="00173655"/>
    <w:rsid w:val="001B7A3E"/>
    <w:rsid w:val="001E7957"/>
    <w:rsid w:val="00227A2D"/>
    <w:rsid w:val="00244D96"/>
    <w:rsid w:val="00280E02"/>
    <w:rsid w:val="002C1A28"/>
    <w:rsid w:val="00323DD2"/>
    <w:rsid w:val="003B63A8"/>
    <w:rsid w:val="003C41C2"/>
    <w:rsid w:val="003D6225"/>
    <w:rsid w:val="0040477B"/>
    <w:rsid w:val="0043097E"/>
    <w:rsid w:val="00446A4C"/>
    <w:rsid w:val="00463DD7"/>
    <w:rsid w:val="004721BB"/>
    <w:rsid w:val="004750B0"/>
    <w:rsid w:val="00577C91"/>
    <w:rsid w:val="00584882"/>
    <w:rsid w:val="00595F1B"/>
    <w:rsid w:val="005A07B9"/>
    <w:rsid w:val="005D0915"/>
    <w:rsid w:val="00636C5B"/>
    <w:rsid w:val="00637438"/>
    <w:rsid w:val="006C5CD1"/>
    <w:rsid w:val="006D4508"/>
    <w:rsid w:val="006E45E9"/>
    <w:rsid w:val="00772272"/>
    <w:rsid w:val="007749B9"/>
    <w:rsid w:val="007903ED"/>
    <w:rsid w:val="007942FF"/>
    <w:rsid w:val="007A7F92"/>
    <w:rsid w:val="007D3A07"/>
    <w:rsid w:val="007F7674"/>
    <w:rsid w:val="00817C35"/>
    <w:rsid w:val="00866601"/>
    <w:rsid w:val="0087384E"/>
    <w:rsid w:val="0089753D"/>
    <w:rsid w:val="008A0E91"/>
    <w:rsid w:val="008A499F"/>
    <w:rsid w:val="008D69ED"/>
    <w:rsid w:val="00923AFE"/>
    <w:rsid w:val="009632C4"/>
    <w:rsid w:val="00972E56"/>
    <w:rsid w:val="009B070A"/>
    <w:rsid w:val="009D28EC"/>
    <w:rsid w:val="009E4CEF"/>
    <w:rsid w:val="009E5032"/>
    <w:rsid w:val="00A24DBF"/>
    <w:rsid w:val="00A657F2"/>
    <w:rsid w:val="00AA4678"/>
    <w:rsid w:val="00AA70FB"/>
    <w:rsid w:val="00AE6653"/>
    <w:rsid w:val="00B1634B"/>
    <w:rsid w:val="00B21084"/>
    <w:rsid w:val="00B225CD"/>
    <w:rsid w:val="00B41CAD"/>
    <w:rsid w:val="00B467F3"/>
    <w:rsid w:val="00B95396"/>
    <w:rsid w:val="00BD2473"/>
    <w:rsid w:val="00BF4E02"/>
    <w:rsid w:val="00C05171"/>
    <w:rsid w:val="00C11FE0"/>
    <w:rsid w:val="00C51939"/>
    <w:rsid w:val="00C8761D"/>
    <w:rsid w:val="00D36A1D"/>
    <w:rsid w:val="00D5126F"/>
    <w:rsid w:val="00DA5865"/>
    <w:rsid w:val="00DB4B93"/>
    <w:rsid w:val="00DF70AE"/>
    <w:rsid w:val="00E303CE"/>
    <w:rsid w:val="00ED2951"/>
    <w:rsid w:val="00EE5495"/>
    <w:rsid w:val="00EE7FAF"/>
    <w:rsid w:val="00EF7404"/>
    <w:rsid w:val="00F75CB7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579F"/>
  <w15:docId w15:val="{9A0AD05B-24DA-498D-A28B-FF85147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8"/>
      <w:ind w:left="4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540" w:hanging="360"/>
    </w:pPr>
  </w:style>
  <w:style w:type="paragraph" w:styleId="ListParagraph">
    <w:name w:val="List Paragraph"/>
    <w:basedOn w:val="Normal"/>
    <w:uiPriority w:val="1"/>
    <w:qFormat/>
    <w:pPr>
      <w:spacing w:before="18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A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3E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4.pdf" TargetMode="External"/><Relationship Id="rId13" Type="http://schemas.openxmlformats.org/officeDocument/2006/relationships/hyperlink" Target="https://www.dir.ca.gov/dlse/paid_sick_leav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cis.gov/i-9" TargetMode="External"/><Relationship Id="rId12" Type="http://schemas.openxmlformats.org/officeDocument/2006/relationships/hyperlink" Target="https://calcivilrights.ca.gov/shp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r.ca.gov/workers'_comp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r.ca.gov/dlse/FAQs-NoticeToEmploye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d.ca.gov/siteassets/files/pdf_pub_ctr/de4.pdf" TargetMode="External"/><Relationship Id="rId14" Type="http://schemas.openxmlformats.org/officeDocument/2006/relationships/hyperlink" Target="https://www.dol.gov/agencies/ebsa/laws-and-regulations/laws/affordable-care-act/for-employers-and-advisers/coverage-options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Price</dc:creator>
  <cp:lastModifiedBy>Miranda Price</cp:lastModifiedBy>
  <cp:revision>2</cp:revision>
  <dcterms:created xsi:type="dcterms:W3CDTF">2024-09-15T19:16:00Z</dcterms:created>
  <dcterms:modified xsi:type="dcterms:W3CDTF">2024-09-15T19:16:00Z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for Microsoft 365</vt:lpwstr>
  </property>
</Properties>
</file>